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2024年安全生产预防及应急专项资金</w:t>
      </w:r>
    </w:p>
    <w:p>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绩效目标汇总表</w:t>
      </w:r>
    </w:p>
    <w:p>
      <w:pPr>
        <w:pStyle w:val="5"/>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lang w:val="en-US" w:eastAsia="zh-CN"/>
        </w:rPr>
      </w:pPr>
    </w:p>
    <w:p>
      <w:pPr>
        <w:pStyle w:val="5"/>
        <w:keepNext w:val="0"/>
        <w:keepLines w:val="0"/>
        <w:pageBreakBefore w:val="0"/>
        <w:widowControl w:val="0"/>
        <w:kinsoku/>
        <w:wordWrap/>
        <w:overflowPunct/>
        <w:topLinePunct w:val="0"/>
        <w:autoSpaceDE/>
        <w:autoSpaceDN/>
        <w:bidi w:val="0"/>
        <w:adjustRightInd/>
        <w:snapToGrid w:val="0"/>
        <w:spacing w:line="240" w:lineRule="exact"/>
        <w:textAlignment w:val="auto"/>
        <w:rPr>
          <w:rFonts w:hint="default"/>
          <w:lang w:val="en-US" w:eastAsia="zh-CN"/>
        </w:rPr>
      </w:pPr>
      <w:r>
        <w:rPr>
          <w:rFonts w:hint="eastAsia" w:ascii="方正小标宋简体" w:hAnsi="方正小标宋简体" w:eastAsia="方正小标宋简体" w:cs="方正小标宋简体"/>
          <w:sz w:val="36"/>
          <w:szCs w:val="36"/>
          <w:lang w:val="en-US" w:eastAsia="zh-CN"/>
        </w:rPr>
        <w:t xml:space="preserve">                                   </w:t>
      </w:r>
      <w:r>
        <w:rPr>
          <w:rFonts w:hint="eastAsia" w:ascii="仿宋_GB2312" w:hAnsi="仿宋_GB2312" w:eastAsia="仿宋_GB2312" w:cs="仿宋_GB2312"/>
          <w:i w:val="0"/>
          <w:iCs w:val="0"/>
          <w:color w:val="000000"/>
          <w:kern w:val="0"/>
          <w:sz w:val="22"/>
          <w:szCs w:val="22"/>
          <w:u w:val="none"/>
          <w:lang w:val="en-US" w:eastAsia="zh-CN" w:bidi="ar"/>
        </w:rPr>
        <w:t xml:space="preserve"> 单位：万元</w:t>
      </w:r>
    </w:p>
    <w:tbl>
      <w:tblPr>
        <w:tblStyle w:val="3"/>
        <w:tblW w:w="8835" w:type="dxa"/>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35"/>
        <w:gridCol w:w="1605"/>
        <w:gridCol w:w="104"/>
        <w:gridCol w:w="1231"/>
        <w:gridCol w:w="1245"/>
        <w:gridCol w:w="1320"/>
        <w:gridCol w:w="2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35" w:type="dxa"/>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序号</w:t>
            </w:r>
          </w:p>
        </w:tc>
        <w:tc>
          <w:tcPr>
            <w:tcW w:w="1605" w:type="dxa"/>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支出方向</w:t>
            </w:r>
          </w:p>
        </w:tc>
        <w:tc>
          <w:tcPr>
            <w:tcW w:w="1335" w:type="dxa"/>
            <w:gridSpan w:val="2"/>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资金总额</w:t>
            </w:r>
          </w:p>
        </w:tc>
        <w:tc>
          <w:tcPr>
            <w:tcW w:w="2565" w:type="dxa"/>
            <w:gridSpan w:val="2"/>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其中</w:t>
            </w:r>
          </w:p>
        </w:tc>
        <w:tc>
          <w:tcPr>
            <w:tcW w:w="2595" w:type="dxa"/>
            <w:vMerge w:val="restart"/>
            <w:tcBorders>
              <w:tl2br w:val="nil"/>
              <w:tr2bl w:val="nil"/>
            </w:tcBorders>
            <w:shd w:val="clear" w:color="auto" w:fill="auto"/>
            <w:noWrap/>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val="0"/>
                <w:bCs w:val="0"/>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年度绩效目标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0" w:hRule="atLeast"/>
        </w:trPr>
        <w:tc>
          <w:tcPr>
            <w:tcW w:w="735" w:type="dxa"/>
            <w:vMerge w:val="continue"/>
            <w:tcBorders>
              <w:tl2br w:val="nil"/>
              <w:tr2bl w:val="nil"/>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605" w:type="dxa"/>
            <w:vMerge w:val="continue"/>
            <w:tcBorders>
              <w:tl2br w:val="nil"/>
              <w:tr2bl w:val="nil"/>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335" w:type="dxa"/>
            <w:gridSpan w:val="2"/>
            <w:vMerge w:val="continue"/>
            <w:tcBorders>
              <w:tl2br w:val="nil"/>
              <w:tr2bl w:val="nil"/>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1245" w:type="dxa"/>
            <w:tcBorders>
              <w:tl2br w:val="nil"/>
              <w:tr2bl w:val="nil"/>
            </w:tcBorders>
            <w:shd w:val="clear" w:color="auto" w:fill="auto"/>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市本级</w:t>
            </w:r>
          </w:p>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支出</w:t>
            </w:r>
          </w:p>
        </w:tc>
        <w:tc>
          <w:tcPr>
            <w:tcW w:w="1320" w:type="dxa"/>
            <w:tcBorders>
              <w:tl2br w:val="nil"/>
              <w:tr2bl w:val="nil"/>
            </w:tcBorders>
            <w:shd w:val="clear" w:color="auto" w:fill="auto"/>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b/>
                <w:bCs/>
                <w:i w:val="0"/>
                <w:iCs w:val="0"/>
                <w:color w:val="000000"/>
                <w:kern w:val="0"/>
                <w:sz w:val="22"/>
                <w:szCs w:val="22"/>
                <w:u w:val="none"/>
                <w:lang w:val="en-US" w:eastAsia="zh-CN" w:bidi="ar"/>
              </w:rPr>
            </w:pPr>
            <w:r>
              <w:rPr>
                <w:rFonts w:hint="eastAsia" w:ascii="仿宋_GB2312" w:hAnsi="仿宋_GB2312" w:eastAsia="仿宋_GB2312" w:cs="仿宋_GB2312"/>
                <w:b/>
                <w:bCs/>
                <w:i w:val="0"/>
                <w:iCs w:val="0"/>
                <w:color w:val="000000"/>
                <w:kern w:val="0"/>
                <w:sz w:val="22"/>
                <w:szCs w:val="22"/>
                <w:u w:val="none"/>
                <w:lang w:val="en-US" w:eastAsia="zh-CN" w:bidi="ar"/>
              </w:rPr>
              <w:t>对县市区转移支付支出</w:t>
            </w: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trPr>
        <w:tc>
          <w:tcPr>
            <w:tcW w:w="2340" w:type="dxa"/>
            <w:gridSpan w:val="2"/>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c>
          <w:tcPr>
            <w:tcW w:w="1335" w:type="dxa"/>
            <w:gridSpan w:val="2"/>
            <w:tcBorders>
              <w:tl2br w:val="nil"/>
              <w:tr2bl w:val="nil"/>
            </w:tcBorders>
            <w:shd w:val="clear" w:color="auto" w:fill="auto"/>
            <w:noWrap/>
            <w:vAlign w:val="center"/>
          </w:tcPr>
          <w:p>
            <w:pPr>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800</w:t>
            </w:r>
          </w:p>
        </w:tc>
        <w:tc>
          <w:tcPr>
            <w:tcW w:w="1245" w:type="dxa"/>
            <w:tcBorders>
              <w:tl2br w:val="nil"/>
              <w:tr2bl w:val="nil"/>
            </w:tcBorders>
            <w:shd w:val="clear" w:color="auto" w:fill="auto"/>
            <w:noWrap/>
            <w:vAlign w:val="center"/>
          </w:tcPr>
          <w:p>
            <w:pPr>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800</w:t>
            </w:r>
          </w:p>
        </w:tc>
        <w:tc>
          <w:tcPr>
            <w:tcW w:w="1320" w:type="dxa"/>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c>
          <w:tcPr>
            <w:tcW w:w="2595" w:type="dxa"/>
            <w:vMerge w:val="restart"/>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r>
              <w:rPr>
                <w:rFonts w:hint="eastAsia" w:ascii="宋体" w:hAnsi="宋体" w:cs="宋体"/>
                <w:b w:val="0"/>
                <w:bCs w:val="0"/>
                <w:i w:val="0"/>
                <w:iCs w:val="0"/>
                <w:color w:val="000000"/>
                <w:sz w:val="22"/>
                <w:szCs w:val="22"/>
                <w:u w:val="none"/>
                <w:lang w:eastAsia="zh-CN"/>
              </w:rPr>
              <w:t>本次专项资金在统筹安排用于安全生产重大事故隐患排查及治理引导、重大生产工艺革新的基础上，重点支持防范化解重大风险建设。注重发挥财政资金引导作用，支持我市企事业单位积极筹措资金整治安全隐患，提升事故防范能力，进一步促进我市安全生产态势稳中向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735" w:type="dxa"/>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1</w:t>
            </w:r>
          </w:p>
        </w:tc>
        <w:tc>
          <w:tcPr>
            <w:tcW w:w="1605" w:type="dxa"/>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lang w:eastAsia="zh-CN"/>
              </w:rPr>
            </w:pPr>
            <w:r>
              <w:rPr>
                <w:rFonts w:hint="eastAsia" w:ascii="仿宋_GB2312" w:hAnsi="仿宋_GB2312" w:eastAsia="仿宋_GB2312" w:cs="仿宋_GB2312"/>
                <w:color w:val="000000"/>
                <w:sz w:val="22"/>
                <w:szCs w:val="22"/>
                <w:lang w:eastAsia="zh-CN"/>
              </w:rPr>
              <w:t>应急能力建设专项</w:t>
            </w:r>
          </w:p>
        </w:tc>
        <w:tc>
          <w:tcPr>
            <w:tcW w:w="1335" w:type="dxa"/>
            <w:gridSpan w:val="2"/>
            <w:tcBorders>
              <w:tl2br w:val="nil"/>
              <w:tr2bl w:val="nil"/>
            </w:tcBorders>
            <w:shd w:val="clear" w:color="auto" w:fill="auto"/>
            <w:noWrap/>
            <w:vAlign w:val="center"/>
          </w:tcPr>
          <w:p>
            <w:pPr>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800</w:t>
            </w:r>
          </w:p>
        </w:tc>
        <w:tc>
          <w:tcPr>
            <w:tcW w:w="1245" w:type="dxa"/>
            <w:tcBorders>
              <w:tl2br w:val="nil"/>
              <w:tr2bl w:val="nil"/>
            </w:tcBorders>
            <w:shd w:val="clear" w:color="auto" w:fill="auto"/>
            <w:noWrap/>
            <w:vAlign w:val="center"/>
          </w:tcPr>
          <w:p>
            <w:pPr>
              <w:jc w:val="center"/>
              <w:rPr>
                <w:rFonts w:hint="default" w:ascii="宋体" w:hAnsi="宋体" w:eastAsia="宋体" w:cs="宋体"/>
                <w:b w:val="0"/>
                <w:bCs w:val="0"/>
                <w:i w:val="0"/>
                <w:iCs w:val="0"/>
                <w:color w:val="000000"/>
                <w:sz w:val="22"/>
                <w:szCs w:val="22"/>
                <w:u w:val="none"/>
                <w:lang w:val="en-US" w:eastAsia="zh-CN"/>
              </w:rPr>
            </w:pPr>
            <w:r>
              <w:rPr>
                <w:rFonts w:hint="eastAsia" w:ascii="宋体" w:hAnsi="宋体" w:cs="宋体"/>
                <w:b w:val="0"/>
                <w:bCs w:val="0"/>
                <w:i w:val="0"/>
                <w:iCs w:val="0"/>
                <w:color w:val="000000"/>
                <w:sz w:val="22"/>
                <w:szCs w:val="22"/>
                <w:u w:val="none"/>
                <w:lang w:val="en-US" w:eastAsia="zh-CN"/>
              </w:rPr>
              <w:t>800</w:t>
            </w:r>
          </w:p>
        </w:tc>
        <w:tc>
          <w:tcPr>
            <w:tcW w:w="1320" w:type="dxa"/>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lang w:eastAsia="zh-CN"/>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7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60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gridSpan w:val="2"/>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trPr>
        <w:tc>
          <w:tcPr>
            <w:tcW w:w="7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60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gridSpan w:val="2"/>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7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60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gridSpan w:val="2"/>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7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60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gridSpan w:val="2"/>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73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60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35" w:type="dxa"/>
            <w:gridSpan w:val="2"/>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245"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1320" w:type="dxa"/>
            <w:tcBorders>
              <w:tl2br w:val="nil"/>
              <w:tr2bl w:val="nil"/>
            </w:tcBorders>
            <w:shd w:val="clear" w:color="auto" w:fill="auto"/>
            <w:noWrap/>
            <w:vAlign w:val="center"/>
          </w:tcPr>
          <w:p>
            <w:pPr>
              <w:rPr>
                <w:rFonts w:hint="eastAsia" w:ascii="宋体" w:hAnsi="宋体" w:eastAsia="宋体" w:cs="宋体"/>
                <w:b w:val="0"/>
                <w:bCs w:val="0"/>
                <w:i w:val="0"/>
                <w:iCs w:val="0"/>
                <w:color w:val="000000"/>
                <w:sz w:val="22"/>
                <w:szCs w:val="22"/>
                <w:u w:val="none"/>
              </w:rPr>
            </w:pPr>
          </w:p>
        </w:tc>
        <w:tc>
          <w:tcPr>
            <w:tcW w:w="2595" w:type="dxa"/>
            <w:vMerge w:val="continue"/>
            <w:tcBorders>
              <w:tl2br w:val="nil"/>
              <w:tr2bl w:val="nil"/>
            </w:tcBorders>
            <w:shd w:val="clear" w:color="auto" w:fill="auto"/>
            <w:noWrap/>
            <w:vAlign w:val="center"/>
          </w:tcPr>
          <w:p>
            <w:pPr>
              <w:jc w:val="center"/>
              <w:rPr>
                <w:rFonts w:hint="eastAsia" w:ascii="宋体" w:hAnsi="宋体" w:eastAsia="宋体" w:cs="宋体"/>
                <w:b w:val="0"/>
                <w:bCs w:val="0"/>
                <w:i w:val="0"/>
                <w:iCs w:val="0"/>
                <w:color w:val="000000"/>
                <w:sz w:val="22"/>
                <w:szCs w:val="22"/>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444" w:type="dxa"/>
            <w:gridSpan w:val="3"/>
            <w:tcBorders>
              <w:tl2br w:val="nil"/>
              <w:tr2bl w:val="nil"/>
            </w:tcBorders>
            <w:shd w:val="clear" w:color="auto" w:fill="auto"/>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b/>
                <w:bCs/>
                <w:i w:val="0"/>
                <w:iCs w:val="0"/>
                <w:color w:val="000000"/>
                <w:kern w:val="0"/>
                <w:sz w:val="22"/>
                <w:szCs w:val="22"/>
                <w:u w:val="none"/>
                <w:lang w:val="en-US" w:eastAsia="zh-CN" w:bidi="ar"/>
              </w:rPr>
            </w:pPr>
            <w:r>
              <w:rPr>
                <w:rFonts w:hint="default" w:ascii="仿宋_GB2312" w:hAnsi="仿宋_GB2312" w:eastAsia="仿宋_GB2312" w:cs="仿宋_GB2312"/>
                <w:b/>
                <w:bCs/>
                <w:i w:val="0"/>
                <w:iCs w:val="0"/>
                <w:color w:val="000000"/>
                <w:kern w:val="0"/>
                <w:sz w:val="22"/>
                <w:szCs w:val="22"/>
                <w:u w:val="none"/>
                <w:lang w:val="en-US" w:eastAsia="zh-CN" w:bidi="ar"/>
              </w:rPr>
              <w:t>财政业务科室</w:t>
            </w:r>
          </w:p>
          <w:p>
            <w:pPr>
              <w:keepNext w:val="0"/>
              <w:keepLines w:val="0"/>
              <w:widowControl/>
              <w:suppressLineNumbers w:val="0"/>
              <w:spacing w:line="320" w:lineRule="exact"/>
              <w:jc w:val="center"/>
              <w:textAlignment w:val="center"/>
              <w:rPr>
                <w:rFonts w:hint="default" w:ascii="Times New Roman" w:hAnsi="Times New Roman" w:eastAsia="宋体" w:cs="Times New Roman"/>
                <w:b w:val="0"/>
                <w:bCs w:val="0"/>
                <w:i w:val="0"/>
                <w:iCs w:val="0"/>
                <w:color w:val="000000"/>
                <w:sz w:val="20"/>
                <w:szCs w:val="20"/>
                <w:u w:val="none"/>
              </w:rPr>
            </w:pPr>
            <w:r>
              <w:rPr>
                <w:rFonts w:hint="default" w:ascii="仿宋_GB2312" w:hAnsi="仿宋_GB2312" w:eastAsia="仿宋_GB2312" w:cs="仿宋_GB2312"/>
                <w:b/>
                <w:bCs/>
                <w:i w:val="0"/>
                <w:iCs w:val="0"/>
                <w:color w:val="000000"/>
                <w:kern w:val="0"/>
                <w:sz w:val="22"/>
                <w:szCs w:val="22"/>
                <w:u w:val="none"/>
                <w:lang w:val="en-US" w:eastAsia="zh-CN" w:bidi="ar"/>
              </w:rPr>
              <w:t>审核意见</w:t>
            </w:r>
          </w:p>
        </w:tc>
        <w:tc>
          <w:tcPr>
            <w:tcW w:w="6391" w:type="dxa"/>
            <w:gridSpan w:val="4"/>
            <w:tcBorders>
              <w:tl2br w:val="nil"/>
              <w:tr2bl w:val="nil"/>
            </w:tcBorders>
            <w:shd w:val="clear" w:color="auto" w:fill="auto"/>
            <w:noWrap w:val="0"/>
            <w:vAlign w:val="center"/>
          </w:tcPr>
          <w:p>
            <w:pPr>
              <w:keepNext w:val="0"/>
              <w:keepLines w:val="0"/>
              <w:widowControl/>
              <w:suppressLineNumbers w:val="0"/>
              <w:spacing w:line="320" w:lineRule="exact"/>
              <w:jc w:val="center"/>
              <w:textAlignment w:val="center"/>
              <w:rPr>
                <w:rFonts w:hint="default" w:ascii="Times New Roman" w:hAnsi="Times New Roman" w:eastAsia="宋体" w:cs="Times New Roman"/>
                <w:b w:val="0"/>
                <w:bCs w:val="0"/>
                <w:i w:val="0"/>
                <w:iCs w:val="0"/>
                <w:color w:val="000000"/>
                <w:kern w:val="0"/>
                <w:sz w:val="20"/>
                <w:szCs w:val="20"/>
                <w:u w:val="none"/>
                <w:lang w:val="en-US" w:eastAsia="zh-CN" w:bidi="ar"/>
              </w:rPr>
            </w:pPr>
          </w:p>
          <w:p>
            <w:pPr>
              <w:rPr>
                <w:rFonts w:hint="default" w:ascii="Times New Roman" w:hAnsi="Times New Roman" w:eastAsia="宋体" w:cs="Times New Roman"/>
                <w:b w:val="0"/>
                <w:bCs w:val="0"/>
                <w:sz w:val="20"/>
                <w:szCs w:val="20"/>
              </w:rPr>
            </w:pPr>
          </w:p>
          <w:p>
            <w:pPr>
              <w:pStyle w:val="2"/>
              <w:spacing w:line="320" w:lineRule="exact"/>
              <w:rPr>
                <w:rFonts w:hint="default" w:ascii="Times New Roman" w:hAnsi="Times New Roman" w:eastAsia="宋体" w:cs="Times New Roman"/>
                <w:b w:val="0"/>
                <w:bCs w:val="0"/>
                <w:i w:val="0"/>
                <w:iCs w:val="0"/>
                <w:color w:val="000000"/>
                <w:kern w:val="0"/>
                <w:sz w:val="20"/>
                <w:szCs w:val="20"/>
                <w:u w:val="none"/>
                <w:lang w:val="en-US" w:eastAsia="zh-CN" w:bidi="ar"/>
              </w:rPr>
            </w:pPr>
          </w:p>
          <w:p>
            <w:pPr>
              <w:keepNext w:val="0"/>
              <w:keepLines w:val="0"/>
              <w:widowControl/>
              <w:suppressLineNumbers w:val="0"/>
              <w:wordWrap w:val="0"/>
              <w:spacing w:line="320" w:lineRule="exact"/>
              <w:jc w:val="right"/>
              <w:textAlignment w:val="center"/>
              <w:rPr>
                <w:rFonts w:hint="default" w:ascii="Times New Roman" w:hAnsi="Times New Roman" w:eastAsia="宋体" w:cs="Times New Roman"/>
                <w:b w:val="0"/>
                <w:bCs w:val="0"/>
                <w:i w:val="0"/>
                <w:iCs w:val="0"/>
                <w:color w:val="000000"/>
                <w:kern w:val="0"/>
                <w:sz w:val="20"/>
                <w:szCs w:val="20"/>
                <w:u w:val="none"/>
                <w:lang w:val="en-US" w:eastAsia="zh-CN" w:bidi="ar"/>
              </w:rPr>
            </w:pPr>
            <w:r>
              <w:rPr>
                <w:rFonts w:hint="default" w:ascii="Times New Roman" w:hAnsi="Times New Roman" w:eastAsia="宋体" w:cs="Times New Roman"/>
                <w:b w:val="0"/>
                <w:bCs w:val="0"/>
                <w:i w:val="0"/>
                <w:iCs w:val="0"/>
                <w:color w:val="000000"/>
                <w:kern w:val="0"/>
                <w:sz w:val="20"/>
                <w:szCs w:val="20"/>
                <w:u w:val="none"/>
                <w:lang w:val="en-US" w:eastAsia="zh-CN" w:bidi="ar"/>
              </w:rPr>
              <w:t xml:space="preserve">（签  章）      </w:t>
            </w:r>
          </w:p>
          <w:p>
            <w:pPr>
              <w:keepNext w:val="0"/>
              <w:keepLines w:val="0"/>
              <w:widowControl/>
              <w:suppressLineNumbers w:val="0"/>
              <w:wordWrap w:val="0"/>
              <w:spacing w:line="320" w:lineRule="exact"/>
              <w:jc w:val="right"/>
              <w:textAlignment w:val="center"/>
              <w:rPr>
                <w:rFonts w:hint="default" w:ascii="Times New Roman" w:hAnsi="Times New Roman" w:eastAsia="宋体" w:cs="Times New Roman"/>
                <w:b w:val="0"/>
                <w:bCs w:val="0"/>
                <w:i w:val="0"/>
                <w:iCs w:val="0"/>
                <w:color w:val="000000"/>
                <w:sz w:val="20"/>
                <w:szCs w:val="20"/>
                <w:u w:val="none"/>
                <w:lang w:val="en-US"/>
              </w:rPr>
            </w:pPr>
            <w:r>
              <w:rPr>
                <w:rFonts w:hint="default" w:ascii="Times New Roman" w:hAnsi="Times New Roman" w:eastAsia="宋体" w:cs="Times New Roman"/>
                <w:b w:val="0"/>
                <w:bCs w:val="0"/>
                <w:i w:val="0"/>
                <w:iCs w:val="0"/>
                <w:color w:val="000000"/>
                <w:kern w:val="0"/>
                <w:sz w:val="20"/>
                <w:szCs w:val="20"/>
                <w:u w:val="none"/>
                <w:lang w:val="en-US" w:eastAsia="zh-CN" w:bidi="ar"/>
              </w:rPr>
              <w:t xml:space="preserve">年     月    日    </w:t>
            </w:r>
          </w:p>
        </w:tc>
      </w:tr>
    </w:tbl>
    <w:p>
      <w:pPr>
        <w:ind w:firstLine="720" w:firstLineChars="200"/>
        <w:rPr>
          <w:rFonts w:hint="eastAsia" w:ascii="方正小标宋简体" w:hAnsi="方正小标宋简体" w:eastAsia="方正小标宋简体" w:cs="方正小标宋简体"/>
          <w:sz w:val="36"/>
          <w:szCs w:val="36"/>
          <w:lang w:val="en-US" w:eastAsia="zh-CN"/>
        </w:rPr>
      </w:pPr>
    </w:p>
    <w:p>
      <w:pPr>
        <w:rPr>
          <w:rFonts w:hint="eastAsia" w:ascii="方正小标宋简体" w:hAnsi="方正小标宋简体" w:eastAsia="方正小标宋简体" w:cs="方正小标宋简体"/>
          <w:sz w:val="36"/>
          <w:szCs w:val="36"/>
          <w:lang w:val="en-US" w:eastAsia="zh-CN"/>
        </w:rPr>
      </w:pPr>
    </w:p>
    <w:p>
      <w:pPr>
        <w:ind w:firstLine="720" w:firstLineChars="20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2024年安全生产预防及应急专项资金</w:t>
      </w:r>
    </w:p>
    <w:p>
      <w:pPr>
        <w:ind w:firstLine="720" w:firstLineChars="20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支出方向绩效目标表</w:t>
      </w:r>
    </w:p>
    <w:p>
      <w:pPr>
        <w:pStyle w:val="5"/>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lang w:val="en-US" w:eastAsia="zh-CN"/>
        </w:rPr>
      </w:pPr>
    </w:p>
    <w:p>
      <w:pPr>
        <w:pStyle w:val="5"/>
        <w:keepNext w:val="0"/>
        <w:keepLines w:val="0"/>
        <w:pageBreakBefore w:val="0"/>
        <w:widowControl w:val="0"/>
        <w:kinsoku/>
        <w:wordWrap/>
        <w:overflowPunct/>
        <w:topLinePunct w:val="0"/>
        <w:autoSpaceDE/>
        <w:autoSpaceDN/>
        <w:bidi w:val="0"/>
        <w:adjustRightInd/>
        <w:snapToGrid w:val="0"/>
        <w:spacing w:line="240" w:lineRule="exact"/>
        <w:textAlignment w:val="auto"/>
        <w:rPr>
          <w:rFonts w:hint="eastAsia" w:ascii="仿宋_GB2312" w:hAnsi="仿宋_GB2312" w:eastAsia="仿宋_GB2312" w:cs="仿宋_GB2312"/>
          <w:sz w:val="28"/>
          <w:szCs w:val="28"/>
          <w:lang w:val="en-US" w:eastAsia="zh-CN"/>
        </w:rPr>
      </w:pPr>
      <w:r>
        <w:rPr>
          <w:rFonts w:hint="eastAsia" w:ascii="方正小标宋简体" w:hAnsi="方正小标宋简体" w:eastAsia="方正小标宋简体" w:cs="方正小标宋简体"/>
          <w:sz w:val="36"/>
          <w:szCs w:val="36"/>
          <w:lang w:val="en-US" w:eastAsia="zh-CN"/>
        </w:rPr>
        <w:t xml:space="preserve">                                   </w:t>
      </w:r>
      <w:r>
        <w:rPr>
          <w:rFonts w:hint="eastAsia" w:ascii="仿宋_GB2312" w:hAnsi="仿宋_GB2312" w:eastAsia="仿宋_GB2312" w:cs="仿宋_GB2312"/>
          <w:i w:val="0"/>
          <w:iCs w:val="0"/>
          <w:color w:val="000000"/>
          <w:kern w:val="0"/>
          <w:sz w:val="22"/>
          <w:szCs w:val="22"/>
          <w:u w:val="none"/>
          <w:lang w:val="en-US" w:eastAsia="zh-CN" w:bidi="ar"/>
        </w:rPr>
        <w:t xml:space="preserve"> 单位：万元</w:t>
      </w:r>
    </w:p>
    <w:tbl>
      <w:tblPr>
        <w:tblStyle w:val="3"/>
        <w:tblW w:w="88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888"/>
        <w:gridCol w:w="1182"/>
        <w:gridCol w:w="870"/>
        <w:gridCol w:w="1114"/>
        <w:gridCol w:w="716"/>
        <w:gridCol w:w="1143"/>
        <w:gridCol w:w="1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1271"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支出方向</w:t>
            </w:r>
          </w:p>
        </w:tc>
        <w:tc>
          <w:tcPr>
            <w:tcW w:w="2940" w:type="dxa"/>
            <w:gridSpan w:val="3"/>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lang w:val="en" w:eastAsia="zh-CN"/>
              </w:rPr>
            </w:pPr>
            <w:r>
              <w:rPr>
                <w:rFonts w:hint="eastAsia" w:ascii="仿宋_GB2312" w:hAnsi="仿宋_GB2312" w:eastAsia="仿宋_GB2312" w:cs="仿宋_GB2312"/>
                <w:color w:val="000000"/>
                <w:sz w:val="22"/>
                <w:szCs w:val="22"/>
                <w:lang w:eastAsia="zh-CN"/>
              </w:rPr>
              <w:t>应急能力建设专项</w:t>
            </w:r>
          </w:p>
        </w:tc>
        <w:tc>
          <w:tcPr>
            <w:tcW w:w="1830"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所属专项</w:t>
            </w:r>
          </w:p>
        </w:tc>
        <w:tc>
          <w:tcPr>
            <w:tcW w:w="2770" w:type="dxa"/>
            <w:gridSpan w:val="2"/>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lang w:val="en" w:eastAsia="zh-CN"/>
              </w:rPr>
            </w:pPr>
            <w:r>
              <w:rPr>
                <w:rFonts w:hint="eastAsia" w:ascii="仿宋_GB2312" w:hAnsi="仿宋_GB2312" w:eastAsia="仿宋_GB2312" w:cs="仿宋_GB2312"/>
                <w:i w:val="0"/>
                <w:iCs w:val="0"/>
                <w:color w:val="000000"/>
                <w:sz w:val="22"/>
                <w:szCs w:val="22"/>
                <w:u w:val="none"/>
                <w:lang w:val="en" w:eastAsia="zh-CN"/>
              </w:rPr>
              <w:t>安全生产预防及应急专项资金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271"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省级主管部门</w:t>
            </w:r>
          </w:p>
        </w:tc>
        <w:tc>
          <w:tcPr>
            <w:tcW w:w="2940" w:type="dxa"/>
            <w:gridSpan w:val="3"/>
            <w:tcBorders>
              <w:tl2br w:val="nil"/>
              <w:tr2bl w:val="nil"/>
            </w:tcBorders>
            <w:noWrap w:val="0"/>
            <w:vAlign w:val="center"/>
          </w:tcPr>
          <w:p>
            <w:pPr>
              <w:spacing w:line="320" w:lineRule="exact"/>
              <w:jc w:val="center"/>
              <w:rPr>
                <w:rFonts w:hint="default" w:ascii="仿宋_GB2312" w:hAnsi="仿宋_GB2312" w:eastAsia="仿宋_GB2312" w:cs="仿宋_GB2312"/>
                <w:i w:val="0"/>
                <w:iCs w:val="0"/>
                <w:color w:val="000000"/>
                <w:sz w:val="22"/>
                <w:szCs w:val="22"/>
                <w:u w:val="none"/>
                <w:lang w:val="en-US" w:eastAsia="zh-CN"/>
              </w:rPr>
            </w:pPr>
            <w:r>
              <w:rPr>
                <w:rFonts w:hint="eastAsia" w:ascii="仿宋_GB2312" w:hAnsi="仿宋_GB2312" w:eastAsia="仿宋_GB2312" w:cs="仿宋_GB2312"/>
                <w:i w:val="0"/>
                <w:iCs w:val="0"/>
                <w:color w:val="000000"/>
                <w:sz w:val="22"/>
                <w:szCs w:val="22"/>
                <w:u w:val="none"/>
                <w:lang w:val="en-US" w:eastAsia="zh-CN"/>
              </w:rPr>
              <w:t>湖南省</w:t>
            </w:r>
            <w:bookmarkStart w:id="0" w:name="_GoBack"/>
            <w:bookmarkEnd w:id="0"/>
            <w:r>
              <w:rPr>
                <w:rFonts w:hint="eastAsia" w:ascii="仿宋_GB2312" w:hAnsi="仿宋_GB2312" w:eastAsia="仿宋_GB2312" w:cs="仿宋_GB2312"/>
                <w:i w:val="0"/>
                <w:iCs w:val="0"/>
                <w:color w:val="000000"/>
                <w:sz w:val="22"/>
                <w:szCs w:val="22"/>
                <w:u w:val="none"/>
                <w:lang w:val="en-US" w:eastAsia="zh-CN"/>
              </w:rPr>
              <w:t>应急管理厅</w:t>
            </w:r>
          </w:p>
        </w:tc>
        <w:tc>
          <w:tcPr>
            <w:tcW w:w="1830"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lang w:val="en-US"/>
              </w:rPr>
            </w:pPr>
            <w:r>
              <w:rPr>
                <w:rFonts w:hint="eastAsia" w:ascii="仿宋_GB2312" w:hAnsi="仿宋_GB2312" w:eastAsia="仿宋_GB2312" w:cs="仿宋_GB2312"/>
                <w:i w:val="0"/>
                <w:iCs w:val="0"/>
                <w:color w:val="000000"/>
                <w:kern w:val="0"/>
                <w:sz w:val="22"/>
                <w:szCs w:val="22"/>
                <w:u w:val="none"/>
                <w:lang w:val="en-US" w:eastAsia="zh-CN" w:bidi="ar"/>
              </w:rPr>
              <w:t>专项资金实施期</w:t>
            </w:r>
          </w:p>
        </w:tc>
        <w:tc>
          <w:tcPr>
            <w:tcW w:w="2770" w:type="dxa"/>
            <w:gridSpan w:val="2"/>
            <w:tcBorders>
              <w:tl2br w:val="nil"/>
              <w:tr2bl w:val="nil"/>
            </w:tcBorders>
            <w:noWrap w:val="0"/>
            <w:vAlign w:val="center"/>
          </w:tcPr>
          <w:p>
            <w:pPr>
              <w:spacing w:line="320" w:lineRule="exact"/>
              <w:jc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271"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支出方向总金额</w:t>
            </w:r>
          </w:p>
        </w:tc>
        <w:tc>
          <w:tcPr>
            <w:tcW w:w="2940" w:type="dxa"/>
            <w:gridSpan w:val="3"/>
            <w:tcBorders>
              <w:tl2br w:val="nil"/>
              <w:tr2bl w:val="nil"/>
            </w:tcBorders>
            <w:noWrap w:val="0"/>
            <w:vAlign w:val="center"/>
          </w:tcPr>
          <w:p>
            <w:pPr>
              <w:spacing w:line="320" w:lineRule="exact"/>
              <w:jc w:val="center"/>
              <w:rPr>
                <w:rFonts w:hint="default" w:ascii="仿宋_GB2312" w:hAnsi="仿宋_GB2312" w:eastAsia="仿宋_GB2312" w:cs="仿宋_GB2312"/>
                <w:i w:val="0"/>
                <w:iCs w:val="0"/>
                <w:color w:val="000000"/>
                <w:sz w:val="24"/>
                <w:szCs w:val="24"/>
                <w:u w:val="none"/>
                <w:lang w:val="en"/>
              </w:rPr>
            </w:pPr>
            <w:r>
              <w:rPr>
                <w:rFonts w:hint="default" w:ascii="仿宋_GB2312" w:hAnsi="仿宋_GB2312" w:eastAsia="仿宋_GB2312" w:cs="仿宋_GB2312"/>
                <w:i w:val="0"/>
                <w:iCs w:val="0"/>
                <w:color w:val="000000"/>
                <w:sz w:val="24"/>
                <w:szCs w:val="24"/>
                <w:u w:val="none"/>
                <w:lang w:val="en"/>
              </w:rPr>
              <w:t>800</w:t>
            </w:r>
          </w:p>
        </w:tc>
        <w:tc>
          <w:tcPr>
            <w:tcW w:w="1830" w:type="dxa"/>
            <w:gridSpan w:val="2"/>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市本级专项资金总额</w:t>
            </w:r>
          </w:p>
        </w:tc>
        <w:tc>
          <w:tcPr>
            <w:tcW w:w="2770" w:type="dxa"/>
            <w:gridSpan w:val="2"/>
            <w:tcBorders>
              <w:tl2br w:val="nil"/>
              <w:tr2bl w:val="nil"/>
            </w:tcBorders>
            <w:noWrap w:val="0"/>
            <w:vAlign w:val="center"/>
          </w:tcPr>
          <w:p>
            <w:pPr>
              <w:spacing w:line="320" w:lineRule="exact"/>
              <w:jc w:val="center"/>
              <w:rPr>
                <w:rFonts w:hint="default" w:ascii="仿宋_GB2312" w:hAnsi="仿宋_GB2312" w:eastAsia="仿宋_GB2312" w:cs="仿宋_GB2312"/>
                <w:i w:val="0"/>
                <w:iCs w:val="0"/>
                <w:color w:val="000000"/>
                <w:sz w:val="24"/>
                <w:szCs w:val="24"/>
                <w:u w:val="none"/>
                <w:lang w:val="en-US" w:eastAsia="zh-CN"/>
              </w:rPr>
            </w:pPr>
            <w:r>
              <w:rPr>
                <w:rFonts w:hint="eastAsia" w:ascii="仿宋_GB2312" w:hAnsi="仿宋_GB2312" w:eastAsia="仿宋_GB2312" w:cs="仿宋_GB2312"/>
                <w:i w:val="0"/>
                <w:iCs w:val="0"/>
                <w:color w:val="000000"/>
                <w:sz w:val="24"/>
                <w:szCs w:val="24"/>
                <w:u w:val="no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1271"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本年度</w:t>
            </w:r>
          </w:p>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绩效目标</w:t>
            </w:r>
          </w:p>
        </w:tc>
        <w:tc>
          <w:tcPr>
            <w:tcW w:w="7540" w:type="dxa"/>
            <w:gridSpan w:val="7"/>
            <w:tcBorders>
              <w:tl2br w:val="nil"/>
              <w:tr2bl w:val="nil"/>
            </w:tcBorders>
            <w:noWrap w:val="0"/>
            <w:vAlign w:val="center"/>
          </w:tcPr>
          <w:p>
            <w:pPr>
              <w:keepNext w:val="0"/>
              <w:keepLines w:val="0"/>
              <w:widowControl/>
              <w:suppressLineNumbers w:val="0"/>
              <w:spacing w:line="320" w:lineRule="exact"/>
              <w:jc w:val="left"/>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2"/>
                <w:szCs w:val="22"/>
                <w:u w:val="none"/>
                <w:lang w:val="en-US" w:eastAsia="zh-CN" w:bidi="ar"/>
              </w:rPr>
              <w:t>本次专项资金在统筹安排用于安全生产重大事故隐患排查及治理引导、重大生产工艺革新的基础上，重点支持防范化解重大风险建设。注重发挥财政资金引导作用，支持我市企事业单位积极筹措资金整治安全隐患，提升事故防范能力，进一步促进我市安全生产态势稳中向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271" w:type="dxa"/>
            <w:vMerge w:val="restart"/>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本年度</w:t>
            </w:r>
            <w:r>
              <w:rPr>
                <w:rFonts w:hint="eastAsia" w:ascii="仿宋_GB2312" w:hAnsi="仿宋_GB2312" w:eastAsia="仿宋_GB2312" w:cs="仿宋_GB2312"/>
                <w:i w:val="0"/>
                <w:iCs w:val="0"/>
                <w:color w:val="000000"/>
                <w:kern w:val="0"/>
                <w:sz w:val="22"/>
                <w:szCs w:val="22"/>
                <w:u w:val="none"/>
                <w:lang w:val="en-US" w:eastAsia="zh-CN" w:bidi="ar"/>
              </w:rPr>
              <w:br w:type="textWrapping"/>
            </w:r>
            <w:r>
              <w:rPr>
                <w:rFonts w:hint="eastAsia" w:ascii="仿宋_GB2312" w:hAnsi="仿宋_GB2312" w:eastAsia="仿宋_GB2312" w:cs="仿宋_GB2312"/>
                <w:i w:val="0"/>
                <w:iCs w:val="0"/>
                <w:color w:val="000000"/>
                <w:kern w:val="0"/>
                <w:sz w:val="22"/>
                <w:szCs w:val="22"/>
                <w:u w:val="none"/>
                <w:lang w:val="en-US" w:eastAsia="zh-CN" w:bidi="ar"/>
              </w:rPr>
              <w:t>绩效指标</w:t>
            </w:r>
          </w:p>
        </w:tc>
        <w:tc>
          <w:tcPr>
            <w:tcW w:w="2070"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一级指标</w:t>
            </w:r>
          </w:p>
        </w:tc>
        <w:tc>
          <w:tcPr>
            <w:tcW w:w="1984"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二级指标</w:t>
            </w: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三级指标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指标值及单位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restart"/>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产出指标</w:t>
            </w:r>
          </w:p>
        </w:tc>
        <w:tc>
          <w:tcPr>
            <w:tcW w:w="1984" w:type="dxa"/>
            <w:gridSpan w:val="2"/>
            <w:vMerge w:val="restart"/>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数量指标</w:t>
            </w: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救援人员到岗数</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救援人员人数/</w:t>
            </w:r>
          </w:p>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项目类别覆盖数量</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3/类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专家评审人数达标率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专家人员人数/人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隐患治理工程完成率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隐患企业排查率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救援装备购置完成率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restart"/>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质量指标</w:t>
            </w: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救援人员资质达标率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资质评审达标率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隐患治理工程验收合格率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隐患企业排查整改率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救援装备购置达标率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restart"/>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时效指标</w:t>
            </w: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救援人员到岗及时率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评审工作完成及时率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隐患治理工程竣工及时率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隐患企业整改及时率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救援装备购置及时率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1984"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成本节约率</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restart"/>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效益指标</w:t>
            </w:r>
          </w:p>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满意度指标</w:t>
            </w:r>
          </w:p>
        </w:tc>
        <w:tc>
          <w:tcPr>
            <w:tcW w:w="1984"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经济效益指标</w:t>
            </w:r>
          </w:p>
        </w:tc>
        <w:tc>
          <w:tcPr>
            <w:tcW w:w="3486" w:type="dxa"/>
            <w:gridSpan w:val="3"/>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4"/>
                <w:szCs w:val="24"/>
                <w:u w:val="none"/>
              </w:rPr>
            </w:pPr>
          </w:p>
        </w:tc>
        <w:tc>
          <w:tcPr>
            <w:tcW w:w="1984" w:type="dxa"/>
            <w:gridSpan w:val="2"/>
            <w:vMerge w:val="restart"/>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社会效益指标</w:t>
            </w: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保障排查企业正常运转</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有效保障/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4"/>
                <w:szCs w:val="24"/>
                <w:u w:val="none"/>
              </w:rPr>
            </w:pPr>
          </w:p>
        </w:tc>
        <w:tc>
          <w:tcPr>
            <w:tcW w:w="1984" w:type="dxa"/>
            <w:gridSpan w:val="2"/>
            <w:vMerge w:val="continue"/>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重大隐患事故</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4"/>
                <w:szCs w:val="24"/>
                <w:u w:val="none"/>
              </w:rPr>
            </w:pPr>
          </w:p>
        </w:tc>
        <w:tc>
          <w:tcPr>
            <w:tcW w:w="1984" w:type="dxa"/>
            <w:gridSpan w:val="2"/>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4"/>
                <w:szCs w:val="24"/>
                <w:u w:val="none"/>
              </w:rPr>
            </w:pP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长效管理机制健全性</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健全/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4"/>
                <w:szCs w:val="24"/>
                <w:u w:val="none"/>
              </w:rPr>
            </w:pPr>
          </w:p>
        </w:tc>
        <w:tc>
          <w:tcPr>
            <w:tcW w:w="1984"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生态效益指标</w:t>
            </w:r>
          </w:p>
        </w:tc>
        <w:tc>
          <w:tcPr>
            <w:tcW w:w="3486" w:type="dxa"/>
            <w:gridSpan w:val="3"/>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271" w:type="dxa"/>
            <w:vMerge w:val="continue"/>
            <w:tcBorders>
              <w:tl2br w:val="nil"/>
              <w:tr2bl w:val="nil"/>
            </w:tcBorders>
            <w:noWrap w:val="0"/>
            <w:vAlign w:val="center"/>
          </w:tcPr>
          <w:p>
            <w:pPr>
              <w:spacing w:line="320" w:lineRule="exact"/>
              <w:jc w:val="center"/>
              <w:rPr>
                <w:rFonts w:hint="eastAsia" w:ascii="仿宋_GB2312" w:hAnsi="仿宋_GB2312" w:eastAsia="仿宋_GB2312" w:cs="仿宋_GB2312"/>
                <w:i w:val="0"/>
                <w:iCs w:val="0"/>
                <w:color w:val="000000"/>
                <w:sz w:val="22"/>
                <w:szCs w:val="22"/>
                <w:u w:val="none"/>
              </w:rPr>
            </w:pPr>
          </w:p>
        </w:tc>
        <w:tc>
          <w:tcPr>
            <w:tcW w:w="2070" w:type="dxa"/>
            <w:gridSpan w:val="2"/>
            <w:vMerge w:val="continue"/>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4"/>
                <w:szCs w:val="24"/>
                <w:u w:val="none"/>
              </w:rPr>
            </w:pPr>
          </w:p>
        </w:tc>
        <w:tc>
          <w:tcPr>
            <w:tcW w:w="1984"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社会公众或服务对象满意度指标</w:t>
            </w:r>
          </w:p>
        </w:tc>
        <w:tc>
          <w:tcPr>
            <w:tcW w:w="18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社会公众满意度</w:t>
            </w:r>
          </w:p>
        </w:tc>
        <w:tc>
          <w:tcPr>
            <w:tcW w:w="1627" w:type="dxa"/>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159" w:type="dxa"/>
            <w:gridSpan w:val="2"/>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财政业务科室</w:t>
            </w:r>
          </w:p>
          <w:p>
            <w:pPr>
              <w:keepNext w:val="0"/>
              <w:keepLines w:val="0"/>
              <w:widowControl/>
              <w:suppressLineNumbers w:val="0"/>
              <w:spacing w:line="320" w:lineRule="exact"/>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审核意见</w:t>
            </w:r>
          </w:p>
        </w:tc>
        <w:tc>
          <w:tcPr>
            <w:tcW w:w="6652" w:type="dxa"/>
            <w:gridSpan w:val="6"/>
            <w:tcBorders>
              <w:tl2br w:val="nil"/>
              <w:tr2bl w:val="nil"/>
            </w:tcBorders>
            <w:noWrap w:val="0"/>
            <w:vAlign w:val="center"/>
          </w:tcPr>
          <w:p>
            <w:pPr>
              <w:keepNext w:val="0"/>
              <w:keepLines w:val="0"/>
              <w:widowControl/>
              <w:suppressLineNumbers w:val="0"/>
              <w:spacing w:line="320" w:lineRule="exact"/>
              <w:jc w:val="center"/>
              <w:textAlignment w:val="center"/>
              <w:rPr>
                <w:rFonts w:hint="default" w:ascii="Times New Roman" w:hAnsi="Times New Roman" w:eastAsia="宋体" w:cs="Times New Roman"/>
                <w:i w:val="0"/>
                <w:iCs w:val="0"/>
                <w:color w:val="000000"/>
                <w:kern w:val="0"/>
                <w:sz w:val="20"/>
                <w:szCs w:val="20"/>
                <w:u w:val="none"/>
                <w:lang w:val="en-US" w:eastAsia="zh-CN" w:bidi="ar"/>
              </w:rPr>
            </w:pPr>
          </w:p>
          <w:p>
            <w:pPr>
              <w:rPr>
                <w:rFonts w:hint="default" w:ascii="Times New Roman" w:hAnsi="Times New Roman" w:eastAsia="宋体" w:cs="Times New Roman"/>
                <w:sz w:val="20"/>
                <w:szCs w:val="20"/>
              </w:rPr>
            </w:pPr>
          </w:p>
          <w:p>
            <w:pPr>
              <w:pStyle w:val="2"/>
              <w:spacing w:line="320" w:lineRule="exact"/>
              <w:rPr>
                <w:rFonts w:hint="default" w:ascii="Times New Roman" w:hAnsi="Times New Roman" w:eastAsia="宋体" w:cs="Times New Roman"/>
                <w:i w:val="0"/>
                <w:iCs w:val="0"/>
                <w:color w:val="000000"/>
                <w:kern w:val="0"/>
                <w:sz w:val="20"/>
                <w:szCs w:val="20"/>
                <w:u w:val="none"/>
                <w:lang w:val="en-US" w:eastAsia="zh-CN" w:bidi="ar"/>
              </w:rPr>
            </w:pPr>
          </w:p>
          <w:p>
            <w:pPr>
              <w:keepNext w:val="0"/>
              <w:keepLines w:val="0"/>
              <w:widowControl/>
              <w:suppressLineNumbers w:val="0"/>
              <w:wordWrap w:val="0"/>
              <w:spacing w:line="320" w:lineRule="exact"/>
              <w:jc w:val="right"/>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default" w:ascii="Times New Roman" w:hAnsi="Times New Roman" w:eastAsia="宋体" w:cs="Times New Roman"/>
                <w:i w:val="0"/>
                <w:iCs w:val="0"/>
                <w:color w:val="000000"/>
                <w:kern w:val="0"/>
                <w:sz w:val="20"/>
                <w:szCs w:val="20"/>
                <w:u w:val="none"/>
                <w:lang w:val="en-US" w:eastAsia="zh-CN" w:bidi="ar"/>
              </w:rPr>
              <w:t xml:space="preserve">（签  章）      </w:t>
            </w:r>
          </w:p>
          <w:p>
            <w:pPr>
              <w:keepNext w:val="0"/>
              <w:keepLines w:val="0"/>
              <w:widowControl/>
              <w:suppressLineNumbers w:val="0"/>
              <w:wordWrap w:val="0"/>
              <w:spacing w:line="320" w:lineRule="exact"/>
              <w:jc w:val="right"/>
              <w:textAlignment w:val="center"/>
              <w:rPr>
                <w:rFonts w:hint="default" w:ascii="Times New Roman" w:hAnsi="Times New Roman" w:eastAsia="宋体" w:cs="Times New Roman"/>
                <w:i w:val="0"/>
                <w:iCs w:val="0"/>
                <w:color w:val="000000"/>
                <w:sz w:val="20"/>
                <w:szCs w:val="20"/>
                <w:u w:val="none"/>
                <w:lang w:val="en-US"/>
              </w:rPr>
            </w:pPr>
            <w:r>
              <w:rPr>
                <w:rFonts w:hint="default" w:ascii="Times New Roman" w:hAnsi="Times New Roman" w:eastAsia="宋体" w:cs="Times New Roman"/>
                <w:i w:val="0"/>
                <w:iCs w:val="0"/>
                <w:color w:val="000000"/>
                <w:kern w:val="0"/>
                <w:sz w:val="20"/>
                <w:szCs w:val="20"/>
                <w:u w:val="none"/>
                <w:lang w:val="en-US" w:eastAsia="zh-CN" w:bidi="ar"/>
              </w:rPr>
              <w:t xml:space="preserve">年     月    日    </w:t>
            </w:r>
          </w:p>
        </w:tc>
      </w:tr>
    </w:tbl>
    <w:p>
      <w:pPr>
        <w:pStyle w:val="5"/>
        <w:rPr>
          <w:rFonts w:hint="default"/>
          <w:lang w:val="en-US" w:eastAsia="zh-CN"/>
        </w:rPr>
      </w:pPr>
    </w:p>
    <w:p>
      <w:pPr>
        <w:pStyle w:val="5"/>
        <w:rPr>
          <w:rFonts w:hint="default"/>
          <w:lang w:val="en-US" w:eastAsia="zh-CN"/>
        </w:rPr>
      </w:pPr>
    </w:p>
    <w:p>
      <w:pPr>
        <w:pStyle w:val="5"/>
        <w:ind w:left="0" w:leftChars="0" w:firstLine="0" w:firstLineChars="0"/>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文星仿宋">
    <w:altName w:val="仿宋"/>
    <w:panose1 w:val="00000000000000000000"/>
    <w:charset w:val="00"/>
    <w:family w:val="auto"/>
    <w:pitch w:val="default"/>
    <w:sig w:usb0="00000000" w:usb1="00000000" w:usb2="00000010"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false"/>
  <w:bordersDoNotSurroundFooter w:val="fals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U0ZTMxNzVhYzQ4NmVkNjdjMWE4YjAyNzZkYzQ2MjgifQ=="/>
  </w:docVars>
  <w:rsids>
    <w:rsidRoot w:val="EF7AB442"/>
    <w:rsid w:val="3A691A10"/>
    <w:rsid w:val="3BEF4F6D"/>
    <w:rsid w:val="6AFD139A"/>
    <w:rsid w:val="6EBC44F8"/>
    <w:rsid w:val="6FD9EDEE"/>
    <w:rsid w:val="71C67E3C"/>
    <w:rsid w:val="793449DB"/>
    <w:rsid w:val="7DBFA709"/>
    <w:rsid w:val="7F7295F2"/>
    <w:rsid w:val="99DD2D47"/>
    <w:rsid w:val="9FFFAC67"/>
    <w:rsid w:val="AFD54F4C"/>
    <w:rsid w:val="C7BFAE0D"/>
    <w:rsid w:val="DFBFDB47"/>
    <w:rsid w:val="E87C8EEF"/>
    <w:rsid w:val="EF7AB442"/>
    <w:rsid w:val="F6FF4C57"/>
    <w:rsid w:val="F7DF6EFD"/>
    <w:rsid w:val="FAAFA1C7"/>
    <w:rsid w:val="FBCD55FC"/>
    <w:rsid w:val="FF9A2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Calibri" w:hAnsi="Calibri" w:eastAsia="文星仿宋"/>
      <w:sz w:val="32"/>
    </w:rPr>
  </w:style>
  <w:style w:type="paragraph" w:customStyle="1" w:styleId="5">
    <w:name w:val="BodyText1I"/>
    <w:basedOn w:val="1"/>
    <w:qFormat/>
    <w:uiPriority w:val="99"/>
    <w:pPr>
      <w:snapToGrid w:val="0"/>
      <w:spacing w:line="360" w:lineRule="auto"/>
      <w:ind w:firstLine="420" w:firstLineChars="100"/>
    </w:pPr>
    <w:rPr>
      <w:sz w:val="28"/>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220</Words>
  <Characters>228</Characters>
  <Lines>1</Lines>
  <Paragraphs>1</Paragraphs>
  <TotalTime>1</TotalTime>
  <ScaleCrop>false</ScaleCrop>
  <LinksUpToDate>false</LinksUpToDate>
  <CharactersWithSpaces>321</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2023-01-07T07:43:00Z</dcterms:created>
  <dc:creator>123</dc:creator>
  <cp:lastModifiedBy>补补</cp:lastModifiedBy>
  <cp:lastPrinted>2024-01-10T22:40:00Z</cp:lastPrinted>
  <dcterms:modified xsi:type="dcterms:W3CDTF">2024-01-11T08:29:21Z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291468F4BDDC4996AE93D418C1FEE417</vt:lpwstr>
  </property>
</Properties>
</file>